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D4D4" w14:textId="2D0BB739" w:rsidR="00D72F28" w:rsidRPr="00053827" w:rsidRDefault="00D72F28" w:rsidP="00D72F28">
      <w:pPr>
        <w:rPr>
          <w:rFonts w:ascii="Aptos" w:hAnsi="Aptos" w:cs="Arial"/>
          <w:sz w:val="22"/>
          <w:szCs w:val="22"/>
        </w:rPr>
      </w:pPr>
    </w:p>
    <w:p w14:paraId="4B78A8D0" w14:textId="1DFCDEE8" w:rsidR="00D75937" w:rsidRPr="002C4D3F" w:rsidRDefault="00D75937" w:rsidP="009053BD">
      <w:pPr>
        <w:pStyle w:val="Subtitle"/>
        <w:jc w:val="center"/>
        <w:rPr>
          <w:rStyle w:val="Emphasis"/>
          <w:rFonts w:ascii="Aptos" w:hAnsi="Aptos" w:cs="Arial"/>
          <w:i w:val="0"/>
          <w:sz w:val="36"/>
          <w:szCs w:val="36"/>
        </w:rPr>
      </w:pPr>
      <w:r w:rsidRPr="002C4D3F">
        <w:rPr>
          <w:rFonts w:ascii="Aptos" w:hAnsi="Aptos" w:cs="Arial"/>
          <w:color w:val="1F497D" w:themeColor="text2"/>
          <w:sz w:val="36"/>
          <w:szCs w:val="36"/>
        </w:rPr>
        <w:t>BOX HILL REPORTER DISTRICT CRICKET ASSOCIATION REFUND POLICY</w:t>
      </w:r>
    </w:p>
    <w:p w14:paraId="30E6B6BB" w14:textId="77777777" w:rsidR="00D75937" w:rsidRPr="00D75937" w:rsidRDefault="00D75937" w:rsidP="00D75937"/>
    <w:p w14:paraId="6E828375" w14:textId="17D11754" w:rsidR="00D72F28" w:rsidRPr="00053827" w:rsidRDefault="00D72F28" w:rsidP="00D72F28">
      <w:pPr>
        <w:pStyle w:val="Subtitle"/>
        <w:rPr>
          <w:rStyle w:val="Emphasis"/>
          <w:rFonts w:ascii="Aptos" w:hAnsi="Aptos" w:cs="Arial"/>
          <w:i w:val="0"/>
          <w:sz w:val="22"/>
          <w:szCs w:val="22"/>
        </w:rPr>
      </w:pPr>
      <w:r w:rsidRPr="00053827">
        <w:rPr>
          <w:rStyle w:val="Emphasis"/>
          <w:rFonts w:ascii="Aptos" w:hAnsi="Aptos" w:cs="Arial"/>
          <w:i w:val="0"/>
          <w:sz w:val="22"/>
          <w:szCs w:val="22"/>
        </w:rPr>
        <w:t>PURPOSE</w:t>
      </w:r>
    </w:p>
    <w:p w14:paraId="4E674AC6" w14:textId="362E5DB1" w:rsidR="002C11AE" w:rsidRDefault="00053827" w:rsidP="00D72F28">
      <w:pPr>
        <w:rPr>
          <w:rFonts w:ascii="Aptos" w:hAnsi="Aptos" w:cs="Arial"/>
          <w:sz w:val="22"/>
          <w:szCs w:val="22"/>
        </w:rPr>
      </w:pPr>
      <w:r w:rsidRPr="00053827">
        <w:rPr>
          <w:rFonts w:ascii="Aptos" w:hAnsi="Aptos" w:cs="Arial"/>
          <w:sz w:val="22"/>
          <w:szCs w:val="22"/>
        </w:rPr>
        <w:t>The purpose of this policy is to provide a clear, consistent, and transparent process for managing refund requests for the Box Hill Reporter District Cricket Association (BHRDCA) player levy. The policy ensures fairness to all players while maintaining the financial integrity of the Association.</w:t>
      </w:r>
    </w:p>
    <w:p w14:paraId="7148445F" w14:textId="77777777" w:rsidR="00053827" w:rsidRPr="00053827" w:rsidRDefault="00053827" w:rsidP="00D72F28">
      <w:pPr>
        <w:rPr>
          <w:rFonts w:ascii="Aptos" w:hAnsi="Aptos" w:cs="Arial"/>
          <w:sz w:val="22"/>
          <w:szCs w:val="22"/>
        </w:rPr>
      </w:pPr>
    </w:p>
    <w:p w14:paraId="6BAC5C27" w14:textId="446BF011" w:rsidR="00D72F28" w:rsidRPr="00053827" w:rsidRDefault="00D72F28" w:rsidP="000F2375">
      <w:pPr>
        <w:pStyle w:val="Subtitle"/>
        <w:rPr>
          <w:rFonts w:ascii="Aptos" w:hAnsi="Aptos" w:cs="Arial"/>
          <w:sz w:val="22"/>
          <w:szCs w:val="22"/>
        </w:rPr>
      </w:pPr>
      <w:r w:rsidRPr="00053827">
        <w:rPr>
          <w:rFonts w:ascii="Aptos" w:hAnsi="Aptos" w:cs="Arial"/>
          <w:sz w:val="22"/>
          <w:szCs w:val="22"/>
        </w:rPr>
        <w:t>POLICY</w:t>
      </w:r>
      <w:r w:rsidR="002C11AE" w:rsidRPr="00053827">
        <w:rPr>
          <w:rFonts w:ascii="Aptos" w:hAnsi="Aptos" w:cs="Arial"/>
          <w:sz w:val="22"/>
          <w:szCs w:val="22"/>
        </w:rPr>
        <w:t xml:space="preserve"> STATEMENTS</w:t>
      </w:r>
    </w:p>
    <w:p w14:paraId="7917DB7B" w14:textId="543B1F76" w:rsidR="002C11AE" w:rsidRDefault="00053827" w:rsidP="009D5671">
      <w:pPr>
        <w:widowControl w:val="0"/>
        <w:autoSpaceDE w:val="0"/>
        <w:autoSpaceDN w:val="0"/>
        <w:adjustRightInd w:val="0"/>
        <w:rPr>
          <w:rFonts w:ascii="Aptos" w:hAnsi="Aptos" w:cs="Arial"/>
          <w:sz w:val="22"/>
          <w:szCs w:val="22"/>
        </w:rPr>
      </w:pPr>
      <w:r w:rsidRPr="00053827">
        <w:rPr>
          <w:rFonts w:ascii="Aptos" w:hAnsi="Aptos" w:cs="Arial"/>
          <w:sz w:val="22"/>
          <w:szCs w:val="22"/>
        </w:rPr>
        <w:t>The BHRDCA requires all registered players to pay a levy at the time of registration via PlayHQ. Refunds may be provided in limited circumstances, subject to the conditions outlined in this policy. Refunds will only be issued prior to the commencement of the season, less any PlayHQ processing fees. Once the season has commenced, no refunds will be provided</w:t>
      </w:r>
      <w:r>
        <w:rPr>
          <w:rFonts w:ascii="Aptos" w:hAnsi="Aptos" w:cs="Arial"/>
          <w:sz w:val="22"/>
          <w:szCs w:val="22"/>
        </w:rPr>
        <w:t xml:space="preserve"> except at the discretion of the CoM</w:t>
      </w:r>
    </w:p>
    <w:p w14:paraId="33FF394F" w14:textId="1464185C" w:rsidR="00053827" w:rsidRPr="00053827" w:rsidRDefault="00053827" w:rsidP="009D5671">
      <w:pPr>
        <w:widowControl w:val="0"/>
        <w:autoSpaceDE w:val="0"/>
        <w:autoSpaceDN w:val="0"/>
        <w:adjustRightInd w:val="0"/>
        <w:rPr>
          <w:rFonts w:ascii="Aptos" w:hAnsi="Aptos" w:cs="Arial"/>
          <w:sz w:val="22"/>
          <w:szCs w:val="22"/>
        </w:rPr>
      </w:pPr>
    </w:p>
    <w:p w14:paraId="234BF220" w14:textId="5779B8E0" w:rsidR="00431D7F" w:rsidRPr="00053827" w:rsidRDefault="00431D7F" w:rsidP="00431D7F">
      <w:pPr>
        <w:pStyle w:val="ListParagraph"/>
        <w:ind w:left="0"/>
        <w:rPr>
          <w:rFonts w:ascii="Aptos" w:hAnsi="Aptos" w:cs="Arial"/>
          <w:b/>
          <w:sz w:val="22"/>
          <w:szCs w:val="22"/>
        </w:rPr>
      </w:pPr>
      <w:r w:rsidRPr="00053827">
        <w:rPr>
          <w:rFonts w:ascii="Aptos" w:hAnsi="Aptos" w:cs="Arial"/>
          <w:b/>
          <w:sz w:val="22"/>
          <w:szCs w:val="22"/>
        </w:rPr>
        <w:t>SCOPE</w:t>
      </w:r>
    </w:p>
    <w:p w14:paraId="0E575DB7" w14:textId="77777777" w:rsidR="00053827" w:rsidRPr="00053827" w:rsidRDefault="00053827" w:rsidP="00053827">
      <w:pPr>
        <w:pStyle w:val="ListParagraph"/>
        <w:rPr>
          <w:rFonts w:ascii="Aptos" w:hAnsi="Aptos" w:cs="Arial"/>
          <w:sz w:val="22"/>
          <w:szCs w:val="22"/>
          <w:lang w:val="en-US"/>
        </w:rPr>
      </w:pPr>
      <w:r w:rsidRPr="00053827">
        <w:rPr>
          <w:rFonts w:ascii="Aptos" w:hAnsi="Aptos" w:cs="Arial"/>
          <w:sz w:val="22"/>
          <w:szCs w:val="22"/>
          <w:lang w:val="en-US"/>
        </w:rPr>
        <w:t>This policy applies to:</w:t>
      </w:r>
    </w:p>
    <w:p w14:paraId="48B2F552" w14:textId="5F7C26D9" w:rsidR="00053827" w:rsidRPr="00053827" w:rsidRDefault="00053827" w:rsidP="00053827">
      <w:pPr>
        <w:pStyle w:val="ListParagraph"/>
        <w:numPr>
          <w:ilvl w:val="0"/>
          <w:numId w:val="12"/>
        </w:numPr>
        <w:rPr>
          <w:rFonts w:ascii="Aptos" w:hAnsi="Aptos" w:cs="Arial"/>
          <w:sz w:val="22"/>
          <w:szCs w:val="22"/>
          <w:lang w:val="en-US"/>
        </w:rPr>
      </w:pPr>
      <w:r w:rsidRPr="00053827">
        <w:rPr>
          <w:rFonts w:ascii="Aptos" w:hAnsi="Aptos" w:cs="Arial"/>
          <w:sz w:val="22"/>
          <w:szCs w:val="22"/>
          <w:lang w:val="en-US"/>
        </w:rPr>
        <w:t>All players registered with the BHRDCA via PlayHQ who have paid the player levy.</w:t>
      </w:r>
    </w:p>
    <w:p w14:paraId="147A26D7" w14:textId="6842193E" w:rsidR="00053827" w:rsidRPr="00053827" w:rsidRDefault="00053827" w:rsidP="00053827">
      <w:pPr>
        <w:pStyle w:val="ListParagraph"/>
        <w:numPr>
          <w:ilvl w:val="0"/>
          <w:numId w:val="12"/>
        </w:numPr>
        <w:rPr>
          <w:rFonts w:ascii="Aptos" w:hAnsi="Aptos" w:cs="Arial"/>
          <w:sz w:val="22"/>
          <w:szCs w:val="22"/>
          <w:lang w:val="en-US"/>
        </w:rPr>
      </w:pPr>
      <w:r w:rsidRPr="00053827">
        <w:rPr>
          <w:rFonts w:ascii="Aptos" w:hAnsi="Aptos" w:cs="Arial"/>
          <w:sz w:val="22"/>
          <w:szCs w:val="22"/>
          <w:lang w:val="en-US"/>
        </w:rPr>
        <w:t xml:space="preserve">All affiliated </w:t>
      </w:r>
      <w:r>
        <w:rPr>
          <w:rFonts w:ascii="Aptos" w:hAnsi="Aptos" w:cs="Arial"/>
          <w:sz w:val="22"/>
          <w:szCs w:val="22"/>
          <w:lang w:val="en-US"/>
        </w:rPr>
        <w:t xml:space="preserve">&amp; associate </w:t>
      </w:r>
      <w:r w:rsidRPr="00053827">
        <w:rPr>
          <w:rFonts w:ascii="Aptos" w:hAnsi="Aptos" w:cs="Arial"/>
          <w:sz w:val="22"/>
          <w:szCs w:val="22"/>
          <w:lang w:val="en-US"/>
        </w:rPr>
        <w:t>clubs within the BHRDCA.</w:t>
      </w:r>
    </w:p>
    <w:p w14:paraId="61234A03" w14:textId="77777777" w:rsidR="00431D7F" w:rsidRPr="00053827" w:rsidRDefault="00431D7F" w:rsidP="00431D7F">
      <w:pPr>
        <w:pStyle w:val="ListParagraph"/>
        <w:ind w:left="0"/>
        <w:rPr>
          <w:rFonts w:ascii="Aptos" w:hAnsi="Aptos" w:cs="Arial"/>
          <w:sz w:val="22"/>
          <w:szCs w:val="22"/>
        </w:rPr>
      </w:pPr>
    </w:p>
    <w:p w14:paraId="21DB2CFC" w14:textId="11872F21" w:rsidR="00431D7F" w:rsidRPr="00053827" w:rsidRDefault="00431D7F" w:rsidP="00431D7F">
      <w:pPr>
        <w:pStyle w:val="ListParagraph"/>
        <w:ind w:left="0"/>
        <w:rPr>
          <w:rFonts w:ascii="Aptos" w:hAnsi="Aptos" w:cs="Arial"/>
          <w:b/>
          <w:sz w:val="22"/>
          <w:szCs w:val="22"/>
        </w:rPr>
      </w:pPr>
      <w:r w:rsidRPr="00053827">
        <w:rPr>
          <w:rFonts w:ascii="Aptos" w:hAnsi="Aptos" w:cs="Arial"/>
          <w:b/>
          <w:sz w:val="22"/>
          <w:szCs w:val="22"/>
        </w:rPr>
        <w:t>DEFINITIONS</w:t>
      </w:r>
    </w:p>
    <w:p w14:paraId="5144CA33" w14:textId="4329DEF0" w:rsidR="00053827" w:rsidRPr="00053827" w:rsidRDefault="00053827" w:rsidP="00053827">
      <w:pPr>
        <w:pStyle w:val="ListParagraph"/>
        <w:widowControl w:val="0"/>
        <w:numPr>
          <w:ilvl w:val="0"/>
          <w:numId w:val="12"/>
        </w:numPr>
        <w:autoSpaceDE w:val="0"/>
        <w:autoSpaceDN w:val="0"/>
        <w:adjustRightInd w:val="0"/>
        <w:spacing w:after="120"/>
        <w:rPr>
          <w:rFonts w:ascii="Aptos" w:hAnsi="Aptos" w:cs="Arial"/>
          <w:sz w:val="22"/>
          <w:szCs w:val="22"/>
          <w:lang w:val="en-US"/>
        </w:rPr>
      </w:pPr>
      <w:r w:rsidRPr="00053827">
        <w:rPr>
          <w:rFonts w:ascii="Aptos" w:hAnsi="Aptos" w:cs="Arial"/>
          <w:b/>
          <w:bCs/>
          <w:sz w:val="22"/>
          <w:szCs w:val="22"/>
          <w:lang w:val="en-US"/>
        </w:rPr>
        <w:t>Player Levy:</w:t>
      </w:r>
      <w:r w:rsidRPr="00053827">
        <w:rPr>
          <w:rFonts w:ascii="Aptos" w:hAnsi="Aptos" w:cs="Arial"/>
          <w:sz w:val="22"/>
          <w:szCs w:val="22"/>
          <w:lang w:val="en-US"/>
        </w:rPr>
        <w:t xml:space="preserve"> The mandatory fee paid by each player upon registration through PlayHQ to participate in BHRDCA competitions.</w:t>
      </w:r>
    </w:p>
    <w:p w14:paraId="570DEBC1" w14:textId="3179D846" w:rsidR="00053827" w:rsidRPr="00053827" w:rsidRDefault="00053827" w:rsidP="00053827">
      <w:pPr>
        <w:pStyle w:val="ListParagraph"/>
        <w:widowControl w:val="0"/>
        <w:numPr>
          <w:ilvl w:val="0"/>
          <w:numId w:val="12"/>
        </w:numPr>
        <w:autoSpaceDE w:val="0"/>
        <w:autoSpaceDN w:val="0"/>
        <w:adjustRightInd w:val="0"/>
        <w:spacing w:after="120"/>
        <w:rPr>
          <w:rFonts w:ascii="Aptos" w:hAnsi="Aptos" w:cs="Arial"/>
          <w:sz w:val="22"/>
          <w:szCs w:val="22"/>
          <w:lang w:val="en-US"/>
        </w:rPr>
      </w:pPr>
      <w:r w:rsidRPr="00053827">
        <w:rPr>
          <w:rFonts w:ascii="Aptos" w:hAnsi="Aptos" w:cs="Arial"/>
          <w:b/>
          <w:bCs/>
          <w:sz w:val="22"/>
          <w:szCs w:val="22"/>
          <w:lang w:val="en-US"/>
        </w:rPr>
        <w:t>PlayHQ Fees:</w:t>
      </w:r>
      <w:r w:rsidRPr="00053827">
        <w:rPr>
          <w:rFonts w:ascii="Aptos" w:hAnsi="Aptos" w:cs="Arial"/>
          <w:sz w:val="22"/>
          <w:szCs w:val="22"/>
          <w:lang w:val="en-US"/>
        </w:rPr>
        <w:t xml:space="preserve"> Non-refundable transaction fees charged by PlayHQ at the time of registration.</w:t>
      </w:r>
    </w:p>
    <w:p w14:paraId="4C1A342A" w14:textId="68CEF6F7" w:rsidR="00053827" w:rsidRPr="00053827" w:rsidRDefault="00053827" w:rsidP="00053827">
      <w:pPr>
        <w:pStyle w:val="ListParagraph"/>
        <w:widowControl w:val="0"/>
        <w:numPr>
          <w:ilvl w:val="0"/>
          <w:numId w:val="12"/>
        </w:numPr>
        <w:autoSpaceDE w:val="0"/>
        <w:autoSpaceDN w:val="0"/>
        <w:adjustRightInd w:val="0"/>
        <w:spacing w:after="120"/>
        <w:rPr>
          <w:rFonts w:ascii="Aptos" w:hAnsi="Aptos" w:cs="Arial"/>
          <w:sz w:val="22"/>
          <w:szCs w:val="22"/>
          <w:lang w:val="en-US"/>
        </w:rPr>
      </w:pPr>
      <w:r w:rsidRPr="00053827">
        <w:rPr>
          <w:rFonts w:ascii="Aptos" w:hAnsi="Aptos" w:cs="Arial"/>
          <w:b/>
          <w:bCs/>
          <w:sz w:val="22"/>
          <w:szCs w:val="22"/>
          <w:lang w:val="en-US"/>
        </w:rPr>
        <w:t>Season Commencement:</w:t>
      </w:r>
      <w:r w:rsidRPr="00053827">
        <w:rPr>
          <w:rFonts w:ascii="Aptos" w:hAnsi="Aptos" w:cs="Arial"/>
          <w:sz w:val="22"/>
          <w:szCs w:val="22"/>
          <w:lang w:val="en-US"/>
        </w:rPr>
        <w:t xml:space="preserve"> The official start date of the BHRDCA competition as determined by the Association each year.</w:t>
      </w:r>
    </w:p>
    <w:p w14:paraId="3C88F10D" w14:textId="09D7AE51" w:rsidR="00D72F28" w:rsidRPr="00053827" w:rsidRDefault="00D72F28" w:rsidP="009D5671">
      <w:pPr>
        <w:widowControl w:val="0"/>
        <w:autoSpaceDE w:val="0"/>
        <w:autoSpaceDN w:val="0"/>
        <w:adjustRightInd w:val="0"/>
        <w:spacing w:after="120"/>
        <w:rPr>
          <w:rFonts w:ascii="Aptos" w:hAnsi="Aptos"/>
          <w:b/>
          <w:bCs/>
          <w:sz w:val="22"/>
          <w:szCs w:val="22"/>
        </w:rPr>
      </w:pPr>
      <w:r w:rsidRPr="00053827">
        <w:rPr>
          <w:rFonts w:ascii="Aptos" w:hAnsi="Aptos" w:cs="Arial"/>
          <w:b/>
          <w:sz w:val="22"/>
          <w:szCs w:val="22"/>
        </w:rPr>
        <w:t>PROCEDURES</w:t>
      </w:r>
    </w:p>
    <w:p w14:paraId="567BAE09" w14:textId="5C774EB7" w:rsidR="00053827" w:rsidRPr="00053827" w:rsidRDefault="00053827" w:rsidP="00053827">
      <w:pPr>
        <w:widowControl w:val="0"/>
        <w:autoSpaceDE w:val="0"/>
        <w:autoSpaceDN w:val="0"/>
        <w:adjustRightInd w:val="0"/>
        <w:spacing w:line="276" w:lineRule="auto"/>
        <w:rPr>
          <w:rFonts w:ascii="Aptos" w:hAnsi="Aptos" w:cs="Arial"/>
          <w:b/>
          <w:bCs/>
          <w:sz w:val="22"/>
          <w:szCs w:val="22"/>
          <w:lang w:val="en-US"/>
        </w:rPr>
      </w:pPr>
      <w:r w:rsidRPr="00053827">
        <w:rPr>
          <w:rFonts w:ascii="Aptos" w:hAnsi="Aptos" w:cs="Arial"/>
          <w:b/>
          <w:bCs/>
          <w:sz w:val="22"/>
          <w:szCs w:val="22"/>
          <w:lang w:val="en-US"/>
        </w:rPr>
        <w:t>1</w:t>
      </w:r>
      <w:r>
        <w:rPr>
          <w:rFonts w:ascii="Aptos" w:hAnsi="Aptos" w:cs="Arial"/>
          <w:b/>
          <w:bCs/>
          <w:sz w:val="22"/>
          <w:szCs w:val="22"/>
          <w:lang w:val="en-US"/>
        </w:rPr>
        <w:t>.0</w:t>
      </w:r>
      <w:r w:rsidRPr="00053827">
        <w:rPr>
          <w:rFonts w:ascii="Aptos" w:hAnsi="Aptos" w:cs="Arial"/>
          <w:b/>
          <w:bCs/>
          <w:sz w:val="22"/>
          <w:szCs w:val="22"/>
          <w:lang w:val="en-US"/>
        </w:rPr>
        <w:t xml:space="preserve"> Requesting a Refund</w:t>
      </w:r>
    </w:p>
    <w:p w14:paraId="61D07578" w14:textId="5F3C759D" w:rsidR="00053827" w:rsidRPr="00053827" w:rsidRDefault="00053827" w:rsidP="00053827">
      <w:pPr>
        <w:widowControl w:val="0"/>
        <w:numPr>
          <w:ilvl w:val="0"/>
          <w:numId w:val="14"/>
        </w:numPr>
        <w:autoSpaceDE w:val="0"/>
        <w:autoSpaceDN w:val="0"/>
        <w:adjustRightInd w:val="0"/>
        <w:spacing w:line="276" w:lineRule="auto"/>
        <w:rPr>
          <w:rFonts w:ascii="Aptos" w:hAnsi="Aptos" w:cs="Arial"/>
          <w:sz w:val="22"/>
          <w:szCs w:val="22"/>
          <w:lang w:val="en-US"/>
        </w:rPr>
      </w:pPr>
      <w:r w:rsidRPr="00053827">
        <w:rPr>
          <w:rFonts w:ascii="Aptos" w:hAnsi="Aptos" w:cs="Arial"/>
          <w:sz w:val="22"/>
          <w:szCs w:val="22"/>
          <w:lang w:val="en-US"/>
        </w:rPr>
        <w:t>A refund request must be submitted prior to the official commencement of the season.</w:t>
      </w:r>
    </w:p>
    <w:p w14:paraId="15377382" w14:textId="5CDDD79B" w:rsidR="00053827" w:rsidRPr="00DE2F62" w:rsidRDefault="00053827" w:rsidP="00DE2F62">
      <w:pPr>
        <w:pStyle w:val="ListParagraph"/>
        <w:numPr>
          <w:ilvl w:val="0"/>
          <w:numId w:val="14"/>
        </w:numPr>
        <w:rPr>
          <w:rFonts w:ascii="Aptos" w:hAnsi="Aptos" w:cs="Arial"/>
          <w:sz w:val="22"/>
          <w:szCs w:val="22"/>
        </w:rPr>
      </w:pPr>
      <w:r w:rsidRPr="00053827">
        <w:rPr>
          <w:rFonts w:ascii="Aptos" w:hAnsi="Aptos" w:cs="Arial"/>
          <w:sz w:val="22"/>
          <w:szCs w:val="22"/>
          <w:lang w:val="en-US"/>
        </w:rPr>
        <w:t xml:space="preserve">Players (or parents/guardians if the player is under 18) must complete the </w:t>
      </w:r>
      <w:r w:rsidRPr="00053827">
        <w:rPr>
          <w:rFonts w:ascii="Aptos" w:hAnsi="Aptos" w:cs="Arial"/>
          <w:b/>
          <w:bCs/>
          <w:sz w:val="22"/>
          <w:szCs w:val="22"/>
          <w:lang w:val="en-US"/>
        </w:rPr>
        <w:t>BHRDCA Levy Refund Form</w:t>
      </w:r>
      <w:r w:rsidRPr="00053827">
        <w:rPr>
          <w:rFonts w:ascii="Aptos" w:hAnsi="Aptos" w:cs="Arial"/>
          <w:sz w:val="22"/>
          <w:szCs w:val="22"/>
          <w:lang w:val="en-US"/>
        </w:rPr>
        <w:t xml:space="preserve">, </w:t>
      </w:r>
      <w:hyperlink r:id="rId7" w:history="1">
        <w:r w:rsidR="00DE2F62" w:rsidRPr="00BE405E">
          <w:rPr>
            <w:rStyle w:val="Hyperlink"/>
            <w:rFonts w:ascii="Aptos" w:hAnsi="Aptos" w:cs="Arial"/>
            <w:sz w:val="22"/>
            <w:szCs w:val="22"/>
          </w:rPr>
          <w:t>BHRDCA Levy Refund Form</w:t>
        </w:r>
      </w:hyperlink>
      <w:r w:rsidR="00DE2F62">
        <w:rPr>
          <w:rFonts w:ascii="Aptos" w:hAnsi="Aptos" w:cs="Arial"/>
          <w:sz w:val="22"/>
          <w:szCs w:val="22"/>
        </w:rPr>
        <w:t xml:space="preserve"> </w:t>
      </w:r>
      <w:r w:rsidR="00DE2F62" w:rsidRPr="00DE2F62">
        <w:rPr>
          <w:rFonts w:ascii="Aptos" w:hAnsi="Aptos" w:cs="Arial"/>
          <w:sz w:val="22"/>
          <w:szCs w:val="22"/>
          <w:lang w:val="en-US"/>
        </w:rPr>
        <w:t>p</w:t>
      </w:r>
      <w:r w:rsidRPr="00DE2F62">
        <w:rPr>
          <w:rFonts w:ascii="Aptos" w:hAnsi="Aptos" w:cs="Arial"/>
          <w:sz w:val="22"/>
          <w:szCs w:val="22"/>
          <w:lang w:val="en-US"/>
        </w:rPr>
        <w:t>roviding:</w:t>
      </w:r>
    </w:p>
    <w:p w14:paraId="0B56FFD2" w14:textId="7C472F54" w:rsidR="00053827" w:rsidRPr="00053827" w:rsidRDefault="00053827" w:rsidP="00053827">
      <w:pPr>
        <w:widowControl w:val="0"/>
        <w:numPr>
          <w:ilvl w:val="1"/>
          <w:numId w:val="14"/>
        </w:numPr>
        <w:autoSpaceDE w:val="0"/>
        <w:autoSpaceDN w:val="0"/>
        <w:adjustRightInd w:val="0"/>
        <w:spacing w:line="276" w:lineRule="auto"/>
        <w:rPr>
          <w:rFonts w:ascii="Aptos" w:hAnsi="Aptos" w:cs="Arial"/>
          <w:sz w:val="22"/>
          <w:szCs w:val="22"/>
          <w:lang w:val="en-US"/>
        </w:rPr>
      </w:pPr>
      <w:r w:rsidRPr="00053827">
        <w:rPr>
          <w:rFonts w:ascii="Aptos" w:hAnsi="Aptos" w:cs="Arial"/>
          <w:sz w:val="22"/>
          <w:szCs w:val="22"/>
          <w:lang w:val="en-US"/>
        </w:rPr>
        <w:t>Player’s full name</w:t>
      </w:r>
    </w:p>
    <w:p w14:paraId="23A0DA9B" w14:textId="4CDC0554" w:rsidR="00053827" w:rsidRPr="00053827" w:rsidRDefault="00053827" w:rsidP="00053827">
      <w:pPr>
        <w:widowControl w:val="0"/>
        <w:numPr>
          <w:ilvl w:val="1"/>
          <w:numId w:val="14"/>
        </w:numPr>
        <w:autoSpaceDE w:val="0"/>
        <w:autoSpaceDN w:val="0"/>
        <w:adjustRightInd w:val="0"/>
        <w:spacing w:line="276" w:lineRule="auto"/>
        <w:rPr>
          <w:rFonts w:ascii="Aptos" w:hAnsi="Aptos" w:cs="Arial"/>
          <w:sz w:val="22"/>
          <w:szCs w:val="22"/>
          <w:lang w:val="en-US"/>
        </w:rPr>
      </w:pPr>
      <w:r w:rsidRPr="00053827">
        <w:rPr>
          <w:rFonts w:ascii="Aptos" w:hAnsi="Aptos" w:cs="Arial"/>
          <w:sz w:val="22"/>
          <w:szCs w:val="22"/>
          <w:lang w:val="en-US"/>
        </w:rPr>
        <w:t>Club name</w:t>
      </w:r>
    </w:p>
    <w:p w14:paraId="1C72F33B" w14:textId="56BD37AF" w:rsidR="00053827" w:rsidRPr="00053827" w:rsidRDefault="00053827" w:rsidP="00053827">
      <w:pPr>
        <w:widowControl w:val="0"/>
        <w:numPr>
          <w:ilvl w:val="1"/>
          <w:numId w:val="14"/>
        </w:numPr>
        <w:autoSpaceDE w:val="0"/>
        <w:autoSpaceDN w:val="0"/>
        <w:adjustRightInd w:val="0"/>
        <w:spacing w:line="276" w:lineRule="auto"/>
        <w:rPr>
          <w:rFonts w:ascii="Aptos" w:hAnsi="Aptos" w:cs="Arial"/>
          <w:sz w:val="22"/>
          <w:szCs w:val="22"/>
          <w:lang w:val="en-US"/>
        </w:rPr>
      </w:pPr>
      <w:r>
        <w:rPr>
          <w:rFonts w:ascii="Aptos" w:hAnsi="Aptos" w:cs="Arial"/>
          <w:sz w:val="22"/>
          <w:szCs w:val="22"/>
          <w:lang w:val="en-US"/>
        </w:rPr>
        <w:t>Email /Mobile</w:t>
      </w:r>
    </w:p>
    <w:p w14:paraId="2F6EF37E" w14:textId="77777777" w:rsidR="00053827" w:rsidRPr="00053827" w:rsidRDefault="00053827" w:rsidP="00053827">
      <w:pPr>
        <w:widowControl w:val="0"/>
        <w:numPr>
          <w:ilvl w:val="1"/>
          <w:numId w:val="14"/>
        </w:numPr>
        <w:autoSpaceDE w:val="0"/>
        <w:autoSpaceDN w:val="0"/>
        <w:adjustRightInd w:val="0"/>
        <w:spacing w:line="276" w:lineRule="auto"/>
        <w:rPr>
          <w:rFonts w:ascii="Aptos" w:hAnsi="Aptos" w:cs="Arial"/>
          <w:sz w:val="22"/>
          <w:szCs w:val="22"/>
          <w:lang w:val="en-US"/>
        </w:rPr>
      </w:pPr>
      <w:r w:rsidRPr="00053827">
        <w:rPr>
          <w:rFonts w:ascii="Aptos" w:hAnsi="Aptos" w:cs="Arial"/>
          <w:sz w:val="22"/>
          <w:szCs w:val="22"/>
          <w:lang w:val="en-US"/>
        </w:rPr>
        <w:t>Reason for refund request</w:t>
      </w:r>
    </w:p>
    <w:p w14:paraId="4E7FE58A" w14:textId="77777777" w:rsidR="00053827" w:rsidRDefault="00053827" w:rsidP="00053827">
      <w:pPr>
        <w:widowControl w:val="0"/>
        <w:numPr>
          <w:ilvl w:val="1"/>
          <w:numId w:val="14"/>
        </w:numPr>
        <w:autoSpaceDE w:val="0"/>
        <w:autoSpaceDN w:val="0"/>
        <w:adjustRightInd w:val="0"/>
        <w:spacing w:line="276" w:lineRule="auto"/>
        <w:rPr>
          <w:rFonts w:ascii="Aptos" w:hAnsi="Aptos" w:cs="Arial"/>
          <w:sz w:val="22"/>
          <w:szCs w:val="22"/>
          <w:lang w:val="en-US"/>
        </w:rPr>
      </w:pPr>
      <w:r w:rsidRPr="00053827">
        <w:rPr>
          <w:rFonts w:ascii="Aptos" w:hAnsi="Aptos" w:cs="Arial"/>
          <w:sz w:val="22"/>
          <w:szCs w:val="22"/>
          <w:lang w:val="en-US"/>
        </w:rPr>
        <w:t>Bank account details (for electronic transfer)</w:t>
      </w:r>
    </w:p>
    <w:p w14:paraId="1EB2977C" w14:textId="77777777" w:rsidR="00053827" w:rsidRPr="00053827" w:rsidRDefault="00053827" w:rsidP="00053827">
      <w:pPr>
        <w:widowControl w:val="0"/>
        <w:autoSpaceDE w:val="0"/>
        <w:autoSpaceDN w:val="0"/>
        <w:adjustRightInd w:val="0"/>
        <w:spacing w:line="276" w:lineRule="auto"/>
        <w:ind w:left="1440"/>
        <w:rPr>
          <w:rFonts w:ascii="Aptos" w:hAnsi="Aptos" w:cs="Arial"/>
          <w:sz w:val="22"/>
          <w:szCs w:val="22"/>
          <w:lang w:val="en-US"/>
        </w:rPr>
      </w:pPr>
    </w:p>
    <w:p w14:paraId="1B95C4E3" w14:textId="6F904EFE" w:rsidR="00053827" w:rsidRPr="00053827" w:rsidRDefault="00053827" w:rsidP="00053827">
      <w:pPr>
        <w:widowControl w:val="0"/>
        <w:autoSpaceDE w:val="0"/>
        <w:autoSpaceDN w:val="0"/>
        <w:adjustRightInd w:val="0"/>
        <w:spacing w:line="276" w:lineRule="auto"/>
        <w:rPr>
          <w:rFonts w:ascii="Aptos" w:hAnsi="Aptos" w:cs="Arial"/>
          <w:b/>
          <w:bCs/>
          <w:sz w:val="22"/>
          <w:szCs w:val="22"/>
          <w:lang w:val="en-US"/>
        </w:rPr>
      </w:pPr>
      <w:r>
        <w:rPr>
          <w:rFonts w:ascii="Aptos" w:hAnsi="Aptos" w:cs="Arial"/>
          <w:b/>
          <w:bCs/>
          <w:sz w:val="22"/>
          <w:szCs w:val="22"/>
          <w:lang w:val="en-US"/>
        </w:rPr>
        <w:t>1</w:t>
      </w:r>
      <w:r w:rsidRPr="00053827">
        <w:rPr>
          <w:rFonts w:ascii="Aptos" w:hAnsi="Aptos" w:cs="Arial"/>
          <w:b/>
          <w:bCs/>
          <w:sz w:val="22"/>
          <w:szCs w:val="22"/>
          <w:lang w:val="en-US"/>
        </w:rPr>
        <w:t>.2 Processing Refunds</w:t>
      </w:r>
    </w:p>
    <w:p w14:paraId="5BAF0591" w14:textId="77777777" w:rsidR="00053827" w:rsidRPr="00053827" w:rsidRDefault="00053827" w:rsidP="00053827">
      <w:pPr>
        <w:widowControl w:val="0"/>
        <w:numPr>
          <w:ilvl w:val="0"/>
          <w:numId w:val="15"/>
        </w:numPr>
        <w:autoSpaceDE w:val="0"/>
        <w:autoSpaceDN w:val="0"/>
        <w:adjustRightInd w:val="0"/>
        <w:spacing w:line="276" w:lineRule="auto"/>
        <w:rPr>
          <w:rFonts w:ascii="Aptos" w:hAnsi="Aptos" w:cs="Arial"/>
          <w:sz w:val="22"/>
          <w:szCs w:val="22"/>
          <w:lang w:val="en-US"/>
        </w:rPr>
      </w:pPr>
      <w:r w:rsidRPr="00053827">
        <w:rPr>
          <w:rFonts w:ascii="Aptos" w:hAnsi="Aptos" w:cs="Arial"/>
          <w:sz w:val="22"/>
          <w:szCs w:val="22"/>
          <w:lang w:val="en-US"/>
        </w:rPr>
        <w:t xml:space="preserve">Refunds will be issued for the full amount of the player levy </w:t>
      </w:r>
      <w:r w:rsidRPr="00053827">
        <w:rPr>
          <w:rFonts w:ascii="Aptos" w:hAnsi="Aptos" w:cs="Arial"/>
          <w:b/>
          <w:bCs/>
          <w:sz w:val="22"/>
          <w:szCs w:val="22"/>
          <w:lang w:val="en-US"/>
        </w:rPr>
        <w:t>less any PlayHQ transaction fees</w:t>
      </w:r>
      <w:r w:rsidRPr="00053827">
        <w:rPr>
          <w:rFonts w:ascii="Aptos" w:hAnsi="Aptos" w:cs="Arial"/>
          <w:sz w:val="22"/>
          <w:szCs w:val="22"/>
          <w:lang w:val="en-US"/>
        </w:rPr>
        <w:t>.</w:t>
      </w:r>
    </w:p>
    <w:p w14:paraId="647561FE" w14:textId="37D44872" w:rsidR="00053827" w:rsidRPr="00053827" w:rsidRDefault="00053827" w:rsidP="00053827">
      <w:pPr>
        <w:widowControl w:val="0"/>
        <w:numPr>
          <w:ilvl w:val="0"/>
          <w:numId w:val="15"/>
        </w:numPr>
        <w:autoSpaceDE w:val="0"/>
        <w:autoSpaceDN w:val="0"/>
        <w:adjustRightInd w:val="0"/>
        <w:spacing w:line="276" w:lineRule="auto"/>
        <w:rPr>
          <w:rFonts w:ascii="Aptos" w:hAnsi="Aptos" w:cs="Arial"/>
          <w:sz w:val="22"/>
          <w:szCs w:val="22"/>
          <w:lang w:val="en-US"/>
        </w:rPr>
      </w:pPr>
      <w:r w:rsidRPr="00053827">
        <w:rPr>
          <w:rFonts w:ascii="Aptos" w:hAnsi="Aptos" w:cs="Arial"/>
          <w:sz w:val="22"/>
          <w:szCs w:val="22"/>
          <w:lang w:val="en-US"/>
        </w:rPr>
        <w:t>Refunds will be paid directly to the player (or parent/guardian</w:t>
      </w:r>
      <w:r w:rsidR="00426BE5">
        <w:rPr>
          <w:rFonts w:ascii="Aptos" w:hAnsi="Aptos" w:cs="Arial"/>
          <w:sz w:val="22"/>
          <w:szCs w:val="22"/>
          <w:lang w:val="en-US"/>
        </w:rPr>
        <w:t xml:space="preserve"> who registered the player</w:t>
      </w:r>
      <w:r w:rsidRPr="00053827">
        <w:rPr>
          <w:rFonts w:ascii="Aptos" w:hAnsi="Aptos" w:cs="Arial"/>
          <w:sz w:val="22"/>
          <w:szCs w:val="22"/>
          <w:lang w:val="en-US"/>
        </w:rPr>
        <w:t xml:space="preserve">) via electronic funds transfer within </w:t>
      </w:r>
      <w:r w:rsidRPr="00053827">
        <w:rPr>
          <w:rFonts w:ascii="Aptos" w:hAnsi="Aptos" w:cs="Arial"/>
          <w:b/>
          <w:bCs/>
          <w:sz w:val="22"/>
          <w:szCs w:val="22"/>
          <w:lang w:val="en-US"/>
        </w:rPr>
        <w:t>21 business days</w:t>
      </w:r>
      <w:r w:rsidRPr="00053827">
        <w:rPr>
          <w:rFonts w:ascii="Aptos" w:hAnsi="Aptos" w:cs="Arial"/>
          <w:sz w:val="22"/>
          <w:szCs w:val="22"/>
          <w:lang w:val="en-US"/>
        </w:rPr>
        <w:t xml:space="preserve"> of the request being approved.</w:t>
      </w:r>
    </w:p>
    <w:p w14:paraId="063D30B5" w14:textId="77777777" w:rsidR="00053827" w:rsidRDefault="00053827" w:rsidP="00053827">
      <w:pPr>
        <w:widowControl w:val="0"/>
        <w:numPr>
          <w:ilvl w:val="0"/>
          <w:numId w:val="15"/>
        </w:numPr>
        <w:autoSpaceDE w:val="0"/>
        <w:autoSpaceDN w:val="0"/>
        <w:adjustRightInd w:val="0"/>
        <w:spacing w:line="276" w:lineRule="auto"/>
        <w:rPr>
          <w:rFonts w:ascii="Aptos" w:hAnsi="Aptos" w:cs="Arial"/>
          <w:sz w:val="22"/>
          <w:szCs w:val="22"/>
          <w:lang w:val="en-US"/>
        </w:rPr>
      </w:pPr>
      <w:r w:rsidRPr="00053827">
        <w:rPr>
          <w:rFonts w:ascii="Aptos" w:hAnsi="Aptos" w:cs="Arial"/>
          <w:sz w:val="22"/>
          <w:szCs w:val="22"/>
          <w:lang w:val="en-US"/>
        </w:rPr>
        <w:t>The Treasurer (or delegated official) is responsible for verifying and processing all refunds.</w:t>
      </w:r>
    </w:p>
    <w:p w14:paraId="3BEF2328" w14:textId="77777777" w:rsidR="00053827" w:rsidRPr="00053827" w:rsidRDefault="00053827" w:rsidP="00053827">
      <w:pPr>
        <w:widowControl w:val="0"/>
        <w:autoSpaceDE w:val="0"/>
        <w:autoSpaceDN w:val="0"/>
        <w:adjustRightInd w:val="0"/>
        <w:spacing w:line="276" w:lineRule="auto"/>
        <w:ind w:left="720"/>
        <w:rPr>
          <w:rFonts w:ascii="Aptos" w:hAnsi="Aptos" w:cs="Arial"/>
          <w:sz w:val="22"/>
          <w:szCs w:val="22"/>
          <w:lang w:val="en-US"/>
        </w:rPr>
      </w:pPr>
    </w:p>
    <w:p w14:paraId="748244A7" w14:textId="61B34D50" w:rsidR="00053827" w:rsidRPr="00053827" w:rsidRDefault="00053827" w:rsidP="00053827">
      <w:pPr>
        <w:widowControl w:val="0"/>
        <w:autoSpaceDE w:val="0"/>
        <w:autoSpaceDN w:val="0"/>
        <w:adjustRightInd w:val="0"/>
        <w:spacing w:line="276" w:lineRule="auto"/>
        <w:rPr>
          <w:rFonts w:ascii="Aptos" w:hAnsi="Aptos" w:cs="Arial"/>
          <w:b/>
          <w:bCs/>
          <w:sz w:val="22"/>
          <w:szCs w:val="22"/>
          <w:lang w:val="en-US"/>
        </w:rPr>
      </w:pPr>
      <w:r>
        <w:rPr>
          <w:rFonts w:ascii="Aptos" w:hAnsi="Aptos" w:cs="Arial"/>
          <w:b/>
          <w:bCs/>
          <w:sz w:val="22"/>
          <w:szCs w:val="22"/>
          <w:lang w:val="en-US"/>
        </w:rPr>
        <w:t>1</w:t>
      </w:r>
      <w:r w:rsidRPr="00053827">
        <w:rPr>
          <w:rFonts w:ascii="Aptos" w:hAnsi="Aptos" w:cs="Arial"/>
          <w:b/>
          <w:bCs/>
          <w:sz w:val="22"/>
          <w:szCs w:val="22"/>
          <w:lang w:val="en-US"/>
        </w:rPr>
        <w:t>.3 After Season Commencement</w:t>
      </w:r>
    </w:p>
    <w:p w14:paraId="44909DA6" w14:textId="77777777" w:rsidR="00053827" w:rsidRPr="00053827" w:rsidRDefault="00053827" w:rsidP="00053827">
      <w:pPr>
        <w:widowControl w:val="0"/>
        <w:numPr>
          <w:ilvl w:val="0"/>
          <w:numId w:val="16"/>
        </w:numPr>
        <w:autoSpaceDE w:val="0"/>
        <w:autoSpaceDN w:val="0"/>
        <w:adjustRightInd w:val="0"/>
        <w:spacing w:line="276" w:lineRule="auto"/>
        <w:rPr>
          <w:rFonts w:ascii="Aptos" w:hAnsi="Aptos" w:cs="Arial"/>
          <w:sz w:val="22"/>
          <w:szCs w:val="22"/>
          <w:lang w:val="en-US"/>
        </w:rPr>
      </w:pPr>
      <w:r w:rsidRPr="00053827">
        <w:rPr>
          <w:rFonts w:ascii="Aptos" w:hAnsi="Aptos" w:cs="Arial"/>
          <w:sz w:val="22"/>
          <w:szCs w:val="22"/>
          <w:lang w:val="en-US"/>
        </w:rPr>
        <w:t>No refunds will be issued once the official season has commenced, regardless of the circumstances (including injury, withdrawal, or transfer).</w:t>
      </w:r>
    </w:p>
    <w:p w14:paraId="16E73A5C" w14:textId="77777777" w:rsidR="003952A6" w:rsidRPr="00053827" w:rsidRDefault="003952A6" w:rsidP="003952A6">
      <w:pPr>
        <w:widowControl w:val="0"/>
        <w:autoSpaceDE w:val="0"/>
        <w:autoSpaceDN w:val="0"/>
        <w:adjustRightInd w:val="0"/>
        <w:spacing w:line="276" w:lineRule="auto"/>
        <w:rPr>
          <w:rFonts w:ascii="Aptos" w:hAnsi="Aptos" w:cs="Arial"/>
          <w:sz w:val="22"/>
          <w:szCs w:val="22"/>
        </w:rPr>
      </w:pPr>
    </w:p>
    <w:p w14:paraId="3FB69E68" w14:textId="5A6BC905" w:rsidR="003952A6" w:rsidRPr="00053827" w:rsidRDefault="003952A6" w:rsidP="003952A6">
      <w:pPr>
        <w:widowControl w:val="0"/>
        <w:autoSpaceDE w:val="0"/>
        <w:autoSpaceDN w:val="0"/>
        <w:adjustRightInd w:val="0"/>
        <w:spacing w:line="276" w:lineRule="auto"/>
        <w:rPr>
          <w:rFonts w:ascii="Aptos" w:hAnsi="Aptos" w:cs="Arial"/>
          <w:b/>
          <w:sz w:val="22"/>
          <w:szCs w:val="22"/>
        </w:rPr>
      </w:pPr>
      <w:r w:rsidRPr="00053827">
        <w:rPr>
          <w:rFonts w:ascii="Aptos" w:hAnsi="Aptos" w:cs="Arial"/>
          <w:b/>
          <w:sz w:val="22"/>
          <w:szCs w:val="22"/>
        </w:rPr>
        <w:t>DOCUMENTS OR TEMPLATES</w:t>
      </w:r>
      <w:r w:rsidR="00426BE5">
        <w:rPr>
          <w:rFonts w:ascii="Aptos" w:hAnsi="Aptos" w:cs="Arial"/>
          <w:b/>
          <w:sz w:val="22"/>
          <w:szCs w:val="22"/>
        </w:rPr>
        <w:t xml:space="preserve"> RELATED</w:t>
      </w:r>
    </w:p>
    <w:p w14:paraId="5BE7E474" w14:textId="77777777" w:rsidR="003952A6" w:rsidRPr="00053827" w:rsidRDefault="003952A6" w:rsidP="003952A6">
      <w:pPr>
        <w:widowControl w:val="0"/>
        <w:autoSpaceDE w:val="0"/>
        <w:autoSpaceDN w:val="0"/>
        <w:adjustRightInd w:val="0"/>
        <w:spacing w:line="276" w:lineRule="auto"/>
        <w:rPr>
          <w:rFonts w:ascii="Aptos" w:hAnsi="Aptos" w:cs="Arial"/>
          <w:b/>
          <w:sz w:val="22"/>
          <w:szCs w:val="22"/>
        </w:rPr>
      </w:pPr>
    </w:p>
    <w:p w14:paraId="6A342CD3" w14:textId="77777777" w:rsidR="003952A6" w:rsidRPr="00053827" w:rsidRDefault="003952A6" w:rsidP="003952A6">
      <w:pPr>
        <w:pStyle w:val="ListParagraph"/>
        <w:widowControl w:val="0"/>
        <w:numPr>
          <w:ilvl w:val="0"/>
          <w:numId w:val="10"/>
        </w:numPr>
        <w:autoSpaceDE w:val="0"/>
        <w:autoSpaceDN w:val="0"/>
        <w:adjustRightInd w:val="0"/>
        <w:spacing w:line="276" w:lineRule="auto"/>
        <w:rPr>
          <w:rFonts w:ascii="Aptos" w:hAnsi="Aptos" w:cs="Arial"/>
          <w:b/>
          <w:sz w:val="22"/>
          <w:szCs w:val="22"/>
        </w:rPr>
      </w:pPr>
      <w:r w:rsidRPr="00053827">
        <w:rPr>
          <w:rFonts w:ascii="Aptos" w:hAnsi="Aptos" w:cs="Arial"/>
          <w:sz w:val="22"/>
          <w:szCs w:val="22"/>
        </w:rPr>
        <w:t>Conflict of Interest Register</w:t>
      </w:r>
    </w:p>
    <w:p w14:paraId="440CFC6C" w14:textId="77777777" w:rsidR="002C11AE" w:rsidRPr="00053827" w:rsidRDefault="002C11AE" w:rsidP="00A214BB">
      <w:pPr>
        <w:pStyle w:val="NormalWeb"/>
        <w:spacing w:before="0" w:beforeAutospacing="0" w:after="0" w:afterAutospacing="0" w:line="276" w:lineRule="auto"/>
        <w:rPr>
          <w:rFonts w:ascii="Aptos" w:hAnsi="Aptos" w:cs="Arial"/>
          <w:sz w:val="22"/>
          <w:szCs w:val="22"/>
        </w:rPr>
      </w:pPr>
    </w:p>
    <w:tbl>
      <w:tblPr>
        <w:tblStyle w:val="TableGrid"/>
        <w:tblpPr w:leftFromText="180" w:rightFromText="180" w:vertAnchor="text" w:horzAnchor="margin" w:tblpY="175"/>
        <w:tblW w:w="0" w:type="auto"/>
        <w:tblLook w:val="04A0" w:firstRow="1" w:lastRow="0" w:firstColumn="1" w:lastColumn="0" w:noHBand="0" w:noVBand="1"/>
      </w:tblPr>
      <w:tblGrid>
        <w:gridCol w:w="1385"/>
        <w:gridCol w:w="4615"/>
        <w:gridCol w:w="1915"/>
        <w:gridCol w:w="1828"/>
      </w:tblGrid>
      <w:tr w:rsidR="00D75937" w:rsidRPr="00053827" w14:paraId="2E9C4835" w14:textId="77777777" w:rsidTr="00D75937">
        <w:tc>
          <w:tcPr>
            <w:tcW w:w="6140" w:type="dxa"/>
            <w:gridSpan w:val="2"/>
            <w:vMerge w:val="restart"/>
          </w:tcPr>
          <w:p w14:paraId="3B88DBD6" w14:textId="77777777" w:rsidR="00D75937" w:rsidRPr="00053827" w:rsidRDefault="00D75937" w:rsidP="00D75937">
            <w:pPr>
              <w:pStyle w:val="Heading2"/>
              <w:numPr>
                <w:ilvl w:val="0"/>
                <w:numId w:val="0"/>
              </w:numPr>
              <w:ind w:left="90"/>
              <w:jc w:val="center"/>
              <w:rPr>
                <w:rFonts w:ascii="Aptos" w:hAnsi="Aptos" w:cs="Arial"/>
                <w:sz w:val="22"/>
                <w:szCs w:val="22"/>
              </w:rPr>
            </w:pPr>
            <w:r w:rsidRPr="00D75937">
              <w:rPr>
                <w:rFonts w:ascii="Aptos" w:hAnsi="Aptos" w:cs="Arial"/>
                <w:color w:val="1F497D" w:themeColor="text2"/>
                <w:sz w:val="22"/>
                <w:szCs w:val="22"/>
              </w:rPr>
              <w:t>BOX HILL REPORTER DISTRICT CRICKET ASSOCIATION REFUND POLICY</w:t>
            </w:r>
          </w:p>
        </w:tc>
        <w:tc>
          <w:tcPr>
            <w:tcW w:w="1944" w:type="dxa"/>
          </w:tcPr>
          <w:p w14:paraId="0C667B09" w14:textId="77777777" w:rsidR="00D75937" w:rsidRPr="00053827" w:rsidRDefault="00D75937" w:rsidP="00D75937">
            <w:pPr>
              <w:rPr>
                <w:rFonts w:ascii="Aptos" w:hAnsi="Aptos" w:cs="Arial"/>
                <w:sz w:val="22"/>
                <w:szCs w:val="22"/>
              </w:rPr>
            </w:pPr>
            <w:r w:rsidRPr="00053827">
              <w:rPr>
                <w:rFonts w:ascii="Aptos" w:hAnsi="Aptos" w:cs="Arial"/>
                <w:sz w:val="22"/>
                <w:szCs w:val="22"/>
              </w:rPr>
              <w:t xml:space="preserve">Approval Date:  </w:t>
            </w:r>
          </w:p>
        </w:tc>
        <w:tc>
          <w:tcPr>
            <w:tcW w:w="1879" w:type="dxa"/>
          </w:tcPr>
          <w:p w14:paraId="528AB706" w14:textId="77777777" w:rsidR="00D75937" w:rsidRPr="00053827" w:rsidRDefault="00D75937" w:rsidP="00D75937">
            <w:pPr>
              <w:rPr>
                <w:rFonts w:ascii="Aptos" w:hAnsi="Aptos" w:cs="Arial"/>
                <w:sz w:val="22"/>
                <w:szCs w:val="22"/>
              </w:rPr>
            </w:pPr>
          </w:p>
        </w:tc>
      </w:tr>
      <w:tr w:rsidR="00D75937" w:rsidRPr="00053827" w14:paraId="735391B8" w14:textId="77777777" w:rsidTr="00D75937">
        <w:tc>
          <w:tcPr>
            <w:tcW w:w="6140" w:type="dxa"/>
            <w:gridSpan w:val="2"/>
            <w:vMerge/>
          </w:tcPr>
          <w:p w14:paraId="3C8AE9BA" w14:textId="77777777" w:rsidR="00D75937" w:rsidRPr="00053827" w:rsidRDefault="00D75937" w:rsidP="00D75937">
            <w:pPr>
              <w:rPr>
                <w:rFonts w:ascii="Aptos" w:hAnsi="Aptos" w:cs="Arial"/>
                <w:sz w:val="22"/>
                <w:szCs w:val="22"/>
              </w:rPr>
            </w:pPr>
          </w:p>
        </w:tc>
        <w:tc>
          <w:tcPr>
            <w:tcW w:w="1944" w:type="dxa"/>
          </w:tcPr>
          <w:p w14:paraId="3835618F" w14:textId="77777777" w:rsidR="00D75937" w:rsidRPr="00053827" w:rsidRDefault="00D75937" w:rsidP="00D75937">
            <w:pPr>
              <w:rPr>
                <w:rFonts w:ascii="Aptos" w:hAnsi="Aptos" w:cs="Arial"/>
                <w:sz w:val="22"/>
                <w:szCs w:val="22"/>
              </w:rPr>
            </w:pPr>
            <w:r w:rsidRPr="00053827">
              <w:rPr>
                <w:rFonts w:ascii="Aptos" w:hAnsi="Aptos" w:cs="Arial"/>
                <w:sz w:val="22"/>
                <w:szCs w:val="22"/>
              </w:rPr>
              <w:t>Review Date:</w:t>
            </w:r>
          </w:p>
        </w:tc>
        <w:tc>
          <w:tcPr>
            <w:tcW w:w="1879" w:type="dxa"/>
          </w:tcPr>
          <w:p w14:paraId="72EC6E62" w14:textId="77777777" w:rsidR="00D75937" w:rsidRPr="00053827" w:rsidRDefault="00D75937" w:rsidP="00D75937">
            <w:pPr>
              <w:rPr>
                <w:rFonts w:ascii="Aptos" w:hAnsi="Aptos" w:cs="Arial"/>
                <w:sz w:val="22"/>
                <w:szCs w:val="22"/>
              </w:rPr>
            </w:pPr>
          </w:p>
        </w:tc>
      </w:tr>
      <w:tr w:rsidR="00D75937" w:rsidRPr="00053827" w14:paraId="6145D13A" w14:textId="77777777" w:rsidTr="00D75937">
        <w:tc>
          <w:tcPr>
            <w:tcW w:w="6140" w:type="dxa"/>
            <w:gridSpan w:val="2"/>
            <w:vMerge/>
          </w:tcPr>
          <w:p w14:paraId="680A443D" w14:textId="77777777" w:rsidR="00D75937" w:rsidRPr="00053827" w:rsidRDefault="00D75937" w:rsidP="00D75937">
            <w:pPr>
              <w:rPr>
                <w:rFonts w:ascii="Aptos" w:hAnsi="Aptos" w:cs="Arial"/>
                <w:sz w:val="22"/>
                <w:szCs w:val="22"/>
              </w:rPr>
            </w:pPr>
          </w:p>
        </w:tc>
        <w:tc>
          <w:tcPr>
            <w:tcW w:w="1944" w:type="dxa"/>
          </w:tcPr>
          <w:p w14:paraId="6CE8D6DD" w14:textId="77777777" w:rsidR="00D75937" w:rsidRPr="00053827" w:rsidRDefault="00D75937" w:rsidP="00D75937">
            <w:pPr>
              <w:rPr>
                <w:rFonts w:ascii="Aptos" w:hAnsi="Aptos" w:cs="Arial"/>
                <w:sz w:val="22"/>
                <w:szCs w:val="22"/>
              </w:rPr>
            </w:pPr>
            <w:r w:rsidRPr="00053827">
              <w:rPr>
                <w:rFonts w:ascii="Aptos" w:hAnsi="Aptos" w:cs="Arial"/>
                <w:sz w:val="22"/>
                <w:szCs w:val="22"/>
              </w:rPr>
              <w:t>Version No:</w:t>
            </w:r>
          </w:p>
        </w:tc>
        <w:tc>
          <w:tcPr>
            <w:tcW w:w="1879" w:type="dxa"/>
          </w:tcPr>
          <w:p w14:paraId="3B87BC0B" w14:textId="77777777" w:rsidR="00D75937" w:rsidRPr="00053827" w:rsidRDefault="00D75937" w:rsidP="00D75937">
            <w:pPr>
              <w:rPr>
                <w:rFonts w:ascii="Aptos" w:hAnsi="Aptos" w:cs="Arial"/>
                <w:sz w:val="22"/>
                <w:szCs w:val="22"/>
              </w:rPr>
            </w:pPr>
            <w:r w:rsidRPr="00053827">
              <w:rPr>
                <w:rFonts w:ascii="Aptos" w:hAnsi="Aptos" w:cs="Arial"/>
                <w:sz w:val="22"/>
                <w:szCs w:val="22"/>
              </w:rPr>
              <w:t>1</w:t>
            </w:r>
          </w:p>
        </w:tc>
      </w:tr>
      <w:tr w:rsidR="00D75937" w:rsidRPr="00053827" w14:paraId="724F64F9" w14:textId="77777777" w:rsidTr="00D75937">
        <w:tc>
          <w:tcPr>
            <w:tcW w:w="1390" w:type="dxa"/>
          </w:tcPr>
          <w:p w14:paraId="4E78991A" w14:textId="77777777" w:rsidR="00D75937" w:rsidRPr="00053827" w:rsidRDefault="00D75937" w:rsidP="00D75937">
            <w:pPr>
              <w:rPr>
                <w:rFonts w:ascii="Aptos" w:hAnsi="Aptos" w:cs="Arial"/>
                <w:sz w:val="22"/>
                <w:szCs w:val="22"/>
              </w:rPr>
            </w:pPr>
            <w:r w:rsidRPr="00053827">
              <w:rPr>
                <w:rFonts w:ascii="Aptos" w:hAnsi="Aptos" w:cs="Arial"/>
                <w:b/>
                <w:sz w:val="22"/>
                <w:szCs w:val="22"/>
              </w:rPr>
              <w:t>President:</w:t>
            </w:r>
          </w:p>
        </w:tc>
        <w:tc>
          <w:tcPr>
            <w:tcW w:w="4750" w:type="dxa"/>
          </w:tcPr>
          <w:p w14:paraId="03965E07" w14:textId="77777777" w:rsidR="00D75937" w:rsidRPr="00053827" w:rsidRDefault="00D75937" w:rsidP="00D75937">
            <w:pPr>
              <w:rPr>
                <w:rFonts w:ascii="Aptos" w:hAnsi="Aptos" w:cs="Arial"/>
                <w:sz w:val="22"/>
                <w:szCs w:val="22"/>
              </w:rPr>
            </w:pPr>
            <w:r w:rsidRPr="00053827">
              <w:rPr>
                <w:rFonts w:ascii="Aptos" w:hAnsi="Aptos" w:cs="Arial"/>
                <w:sz w:val="22"/>
                <w:szCs w:val="22"/>
              </w:rPr>
              <w:t>Sign:</w:t>
            </w:r>
          </w:p>
        </w:tc>
        <w:tc>
          <w:tcPr>
            <w:tcW w:w="3823" w:type="dxa"/>
            <w:gridSpan w:val="2"/>
          </w:tcPr>
          <w:p w14:paraId="3AA1F561" w14:textId="77777777" w:rsidR="00D75937" w:rsidRPr="00053827" w:rsidRDefault="00D75937" w:rsidP="00D75937">
            <w:pPr>
              <w:rPr>
                <w:rFonts w:ascii="Aptos" w:hAnsi="Aptos" w:cs="Arial"/>
                <w:sz w:val="22"/>
                <w:szCs w:val="22"/>
              </w:rPr>
            </w:pPr>
            <w:r w:rsidRPr="00053827">
              <w:rPr>
                <w:rFonts w:ascii="Aptos" w:hAnsi="Aptos" w:cs="Arial"/>
                <w:sz w:val="22"/>
                <w:szCs w:val="22"/>
              </w:rPr>
              <w:t>Name</w:t>
            </w:r>
          </w:p>
        </w:tc>
      </w:tr>
      <w:tr w:rsidR="00D75937" w:rsidRPr="00053827" w14:paraId="7D02DB2D" w14:textId="77777777" w:rsidTr="00D75937">
        <w:tc>
          <w:tcPr>
            <w:tcW w:w="1390" w:type="dxa"/>
          </w:tcPr>
          <w:p w14:paraId="6AE1A362" w14:textId="750F44C7" w:rsidR="00D75937" w:rsidRPr="00053827" w:rsidRDefault="005D4478" w:rsidP="00D75937">
            <w:pPr>
              <w:rPr>
                <w:rFonts w:ascii="Aptos" w:hAnsi="Aptos" w:cs="Arial"/>
                <w:sz w:val="22"/>
                <w:szCs w:val="22"/>
              </w:rPr>
            </w:pPr>
            <w:r>
              <w:rPr>
                <w:rFonts w:ascii="Aptos" w:hAnsi="Aptos" w:cs="Arial"/>
                <w:b/>
                <w:sz w:val="22"/>
                <w:szCs w:val="22"/>
              </w:rPr>
              <w:t>Treasurer</w:t>
            </w:r>
          </w:p>
        </w:tc>
        <w:tc>
          <w:tcPr>
            <w:tcW w:w="4750" w:type="dxa"/>
          </w:tcPr>
          <w:p w14:paraId="6D45DB6A" w14:textId="77777777" w:rsidR="00D75937" w:rsidRPr="00053827" w:rsidRDefault="00D75937" w:rsidP="00D75937">
            <w:pPr>
              <w:rPr>
                <w:rFonts w:ascii="Aptos" w:hAnsi="Aptos" w:cs="Arial"/>
                <w:sz w:val="22"/>
                <w:szCs w:val="22"/>
              </w:rPr>
            </w:pPr>
            <w:r w:rsidRPr="00053827">
              <w:rPr>
                <w:rFonts w:ascii="Aptos" w:hAnsi="Aptos" w:cs="Arial"/>
                <w:sz w:val="22"/>
                <w:szCs w:val="22"/>
              </w:rPr>
              <w:t>Sign:</w:t>
            </w:r>
          </w:p>
        </w:tc>
        <w:tc>
          <w:tcPr>
            <w:tcW w:w="3823" w:type="dxa"/>
            <w:gridSpan w:val="2"/>
          </w:tcPr>
          <w:p w14:paraId="2BFF523E" w14:textId="77777777" w:rsidR="00D75937" w:rsidRPr="00053827" w:rsidRDefault="00D75937" w:rsidP="00D75937">
            <w:pPr>
              <w:rPr>
                <w:rFonts w:ascii="Aptos" w:hAnsi="Aptos" w:cs="Arial"/>
                <w:sz w:val="22"/>
                <w:szCs w:val="22"/>
              </w:rPr>
            </w:pPr>
            <w:r w:rsidRPr="00053827">
              <w:rPr>
                <w:rFonts w:ascii="Aptos" w:hAnsi="Aptos" w:cs="Arial"/>
                <w:sz w:val="22"/>
                <w:szCs w:val="22"/>
              </w:rPr>
              <w:t>Name</w:t>
            </w:r>
          </w:p>
        </w:tc>
      </w:tr>
    </w:tbl>
    <w:p w14:paraId="413C8749" w14:textId="77777777" w:rsidR="002C11AE" w:rsidRDefault="002C11AE" w:rsidP="002C11AE">
      <w:pPr>
        <w:pStyle w:val="ListParagraph"/>
        <w:ind w:left="0"/>
        <w:rPr>
          <w:rFonts w:ascii="Aptos" w:hAnsi="Aptos" w:cs="Arial"/>
          <w:sz w:val="22"/>
          <w:szCs w:val="22"/>
        </w:rPr>
      </w:pPr>
    </w:p>
    <w:p w14:paraId="644EEF18" w14:textId="77777777" w:rsidR="00BE405E" w:rsidRDefault="00BE405E" w:rsidP="002C11AE">
      <w:pPr>
        <w:pStyle w:val="ListParagraph"/>
        <w:ind w:left="0"/>
        <w:rPr>
          <w:rFonts w:ascii="Aptos" w:hAnsi="Aptos" w:cs="Arial"/>
          <w:sz w:val="22"/>
          <w:szCs w:val="22"/>
        </w:rPr>
      </w:pPr>
    </w:p>
    <w:sectPr w:rsidR="00BE405E" w:rsidSect="00D75937">
      <w:headerReference w:type="default" r:id="rId8"/>
      <w:pgSz w:w="11907" w:h="16839"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EAD4" w14:textId="77777777" w:rsidR="003F771A" w:rsidRDefault="003F771A" w:rsidP="00596A42">
      <w:r>
        <w:separator/>
      </w:r>
    </w:p>
  </w:endnote>
  <w:endnote w:type="continuationSeparator" w:id="0">
    <w:p w14:paraId="0D4F365C" w14:textId="77777777" w:rsidR="003F771A" w:rsidRDefault="003F771A" w:rsidP="0059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83EA" w14:textId="77777777" w:rsidR="003F771A" w:rsidRDefault="003F771A" w:rsidP="00596A42">
      <w:r>
        <w:separator/>
      </w:r>
    </w:p>
  </w:footnote>
  <w:footnote w:type="continuationSeparator" w:id="0">
    <w:p w14:paraId="7309DC50" w14:textId="77777777" w:rsidR="003F771A" w:rsidRDefault="003F771A" w:rsidP="0059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0853" w14:textId="7DCB6321" w:rsidR="00426BE5" w:rsidRDefault="00426BE5" w:rsidP="00426BE5">
    <w:pPr>
      <w:pStyle w:val="Header"/>
      <w:jc w:val="center"/>
    </w:pPr>
    <w:r>
      <w:rPr>
        <w:noProof/>
      </w:rPr>
      <w:drawing>
        <wp:inline distT="0" distB="0" distL="0" distR="0" wp14:anchorId="0913E727" wp14:editId="375BA87A">
          <wp:extent cx="707267" cy="720725"/>
          <wp:effectExtent l="0" t="0" r="0" b="3175"/>
          <wp:docPr id="13930976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136" cy="72568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49B"/>
    <w:multiLevelType w:val="hybridMultilevel"/>
    <w:tmpl w:val="7CD80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B549C5"/>
    <w:multiLevelType w:val="hybridMultilevel"/>
    <w:tmpl w:val="819CA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FD572D"/>
    <w:multiLevelType w:val="multilevel"/>
    <w:tmpl w:val="62DE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23B84"/>
    <w:multiLevelType w:val="hybridMultilevel"/>
    <w:tmpl w:val="040C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75F6A"/>
    <w:multiLevelType w:val="hybridMultilevel"/>
    <w:tmpl w:val="4E02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E1457"/>
    <w:multiLevelType w:val="multilevel"/>
    <w:tmpl w:val="436A928E"/>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6529FE"/>
    <w:multiLevelType w:val="hybridMultilevel"/>
    <w:tmpl w:val="7A707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3C162D"/>
    <w:multiLevelType w:val="hybridMultilevel"/>
    <w:tmpl w:val="F126E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F02C1D"/>
    <w:multiLevelType w:val="hybridMultilevel"/>
    <w:tmpl w:val="37B4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67168B"/>
    <w:multiLevelType w:val="hybridMultilevel"/>
    <w:tmpl w:val="4A24DE32"/>
    <w:lvl w:ilvl="0" w:tplc="39246662">
      <w:numFmt w:val="bullet"/>
      <w:lvlText w:val="-"/>
      <w:lvlJc w:val="left"/>
      <w:pPr>
        <w:ind w:left="900" w:hanging="360"/>
      </w:pPr>
      <w:rPr>
        <w:rFonts w:ascii="Century Gothic" w:eastAsia="Times New Roman" w:hAnsi="Century Gothic"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9BE6AF2"/>
    <w:multiLevelType w:val="hybridMultilevel"/>
    <w:tmpl w:val="2FAC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336CD"/>
    <w:multiLevelType w:val="hybridMultilevel"/>
    <w:tmpl w:val="365CD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81A98"/>
    <w:multiLevelType w:val="multilevel"/>
    <w:tmpl w:val="F6FA8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4B20BA"/>
    <w:multiLevelType w:val="multilevel"/>
    <w:tmpl w:val="54C4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946E82"/>
    <w:multiLevelType w:val="multilevel"/>
    <w:tmpl w:val="74E8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6B2661"/>
    <w:multiLevelType w:val="hybridMultilevel"/>
    <w:tmpl w:val="01407630"/>
    <w:lvl w:ilvl="0" w:tplc="C344C4A0">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2545219">
    <w:abstractNumId w:val="5"/>
  </w:num>
  <w:num w:numId="2" w16cid:durableId="1144927648">
    <w:abstractNumId w:val="10"/>
  </w:num>
  <w:num w:numId="3" w16cid:durableId="1959606779">
    <w:abstractNumId w:val="11"/>
  </w:num>
  <w:num w:numId="4" w16cid:durableId="1269891450">
    <w:abstractNumId w:val="4"/>
  </w:num>
  <w:num w:numId="5" w16cid:durableId="781261965">
    <w:abstractNumId w:val="7"/>
  </w:num>
  <w:num w:numId="6" w16cid:durableId="2064592835">
    <w:abstractNumId w:val="8"/>
  </w:num>
  <w:num w:numId="7" w16cid:durableId="745808699">
    <w:abstractNumId w:val="15"/>
  </w:num>
  <w:num w:numId="8" w16cid:durableId="547035335">
    <w:abstractNumId w:val="9"/>
  </w:num>
  <w:num w:numId="9" w16cid:durableId="590436891">
    <w:abstractNumId w:val="1"/>
  </w:num>
  <w:num w:numId="10" w16cid:durableId="102964497">
    <w:abstractNumId w:val="0"/>
  </w:num>
  <w:num w:numId="11" w16cid:durableId="1213928754">
    <w:abstractNumId w:val="6"/>
  </w:num>
  <w:num w:numId="12" w16cid:durableId="1701780574">
    <w:abstractNumId w:val="13"/>
  </w:num>
  <w:num w:numId="13" w16cid:durableId="1539395379">
    <w:abstractNumId w:val="3"/>
  </w:num>
  <w:num w:numId="14" w16cid:durableId="768475682">
    <w:abstractNumId w:val="12"/>
  </w:num>
  <w:num w:numId="15" w16cid:durableId="128280743">
    <w:abstractNumId w:val="14"/>
  </w:num>
  <w:num w:numId="16" w16cid:durableId="1843276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28"/>
    <w:rsid w:val="00025D21"/>
    <w:rsid w:val="00053827"/>
    <w:rsid w:val="000806C8"/>
    <w:rsid w:val="000F2375"/>
    <w:rsid w:val="0013418B"/>
    <w:rsid w:val="00143B49"/>
    <w:rsid w:val="001B64D3"/>
    <w:rsid w:val="00204FB9"/>
    <w:rsid w:val="00291431"/>
    <w:rsid w:val="002C11AE"/>
    <w:rsid w:val="002C4D3F"/>
    <w:rsid w:val="00305221"/>
    <w:rsid w:val="00307990"/>
    <w:rsid w:val="00331DA1"/>
    <w:rsid w:val="00380C65"/>
    <w:rsid w:val="003952A6"/>
    <w:rsid w:val="003F771A"/>
    <w:rsid w:val="00402650"/>
    <w:rsid w:val="00414877"/>
    <w:rsid w:val="00426BE5"/>
    <w:rsid w:val="00431D7F"/>
    <w:rsid w:val="00475E83"/>
    <w:rsid w:val="00507C5C"/>
    <w:rsid w:val="00547B8B"/>
    <w:rsid w:val="00587B8F"/>
    <w:rsid w:val="00596A42"/>
    <w:rsid w:val="005D4478"/>
    <w:rsid w:val="0064397F"/>
    <w:rsid w:val="007171EE"/>
    <w:rsid w:val="007E11AD"/>
    <w:rsid w:val="008330BC"/>
    <w:rsid w:val="008538FD"/>
    <w:rsid w:val="00873AC3"/>
    <w:rsid w:val="008E7210"/>
    <w:rsid w:val="009053BD"/>
    <w:rsid w:val="009D5671"/>
    <w:rsid w:val="00A01886"/>
    <w:rsid w:val="00A214BB"/>
    <w:rsid w:val="00B019EF"/>
    <w:rsid w:val="00B16E15"/>
    <w:rsid w:val="00BB0E8D"/>
    <w:rsid w:val="00BE405E"/>
    <w:rsid w:val="00D37D5B"/>
    <w:rsid w:val="00D72F28"/>
    <w:rsid w:val="00D75937"/>
    <w:rsid w:val="00D83864"/>
    <w:rsid w:val="00DC499B"/>
    <w:rsid w:val="00DE2F62"/>
    <w:rsid w:val="00E71E00"/>
    <w:rsid w:val="00EC2CBC"/>
    <w:rsid w:val="00FE5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258B0"/>
  <w15:docId w15:val="{AB77BB60-6C8A-4BC8-94CB-9422F6AE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28"/>
    <w:pPr>
      <w:spacing w:after="0" w:line="240" w:lineRule="auto"/>
    </w:pPr>
    <w:rPr>
      <w:rFonts w:ascii="Calibri" w:eastAsia="Times New Roman" w:hAnsi="Calibri" w:cs="Times New Roman"/>
      <w:sz w:val="24"/>
      <w:szCs w:val="24"/>
      <w:lang w:val="en-AU"/>
    </w:rPr>
  </w:style>
  <w:style w:type="paragraph" w:styleId="Heading1">
    <w:name w:val="heading 1"/>
    <w:basedOn w:val="Normal"/>
    <w:next w:val="Normal"/>
    <w:link w:val="Heading1Char"/>
    <w:uiPriority w:val="9"/>
    <w:qFormat/>
    <w:rsid w:val="00D72F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Heading3"/>
    <w:link w:val="Heading2Char"/>
    <w:qFormat/>
    <w:rsid w:val="00D72F28"/>
    <w:pPr>
      <w:keepLines w:val="0"/>
      <w:numPr>
        <w:ilvl w:val="1"/>
        <w:numId w:val="1"/>
      </w:numPr>
      <w:spacing w:before="240"/>
      <w:ind w:hanging="792"/>
      <w:outlineLvl w:val="1"/>
    </w:pPr>
    <w:rPr>
      <w:rFonts w:ascii="Calibri" w:eastAsia="Times New Roman" w:hAnsi="Calibri" w:cs="Times New Roman"/>
      <w:color w:val="auto"/>
      <w:sz w:val="36"/>
      <w:szCs w:val="24"/>
    </w:rPr>
  </w:style>
  <w:style w:type="paragraph" w:styleId="Heading3">
    <w:name w:val="heading 3"/>
    <w:basedOn w:val="Normal"/>
    <w:next w:val="Normal"/>
    <w:link w:val="Heading3Char"/>
    <w:uiPriority w:val="9"/>
    <w:semiHidden/>
    <w:unhideWhenUsed/>
    <w:qFormat/>
    <w:rsid w:val="00D72F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D72F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2F28"/>
    <w:rPr>
      <w:rFonts w:ascii="Calibri" w:eastAsia="Times New Roman" w:hAnsi="Calibri" w:cs="Times New Roman"/>
      <w:b/>
      <w:bCs/>
      <w:sz w:val="36"/>
      <w:szCs w:val="24"/>
      <w:lang w:val="en-AU"/>
    </w:rPr>
  </w:style>
  <w:style w:type="character" w:customStyle="1" w:styleId="Heading4Char">
    <w:name w:val="Heading 4 Char"/>
    <w:basedOn w:val="DefaultParagraphFont"/>
    <w:link w:val="Heading4"/>
    <w:uiPriority w:val="9"/>
    <w:rsid w:val="00D72F28"/>
    <w:rPr>
      <w:rFonts w:asciiTheme="majorHAnsi" w:eastAsiaTheme="majorEastAsia" w:hAnsiTheme="majorHAnsi" w:cstheme="majorBidi"/>
      <w:b/>
      <w:bCs/>
      <w:i/>
      <w:iCs/>
      <w:color w:val="4F81BD" w:themeColor="accent1"/>
      <w:sz w:val="24"/>
      <w:szCs w:val="24"/>
      <w:lang w:val="en-AU"/>
    </w:rPr>
  </w:style>
  <w:style w:type="paragraph" w:styleId="Subtitle">
    <w:name w:val="Subtitle"/>
    <w:aliases w:val="Section Title"/>
    <w:basedOn w:val="Normal"/>
    <w:next w:val="Normal"/>
    <w:link w:val="SubtitleChar"/>
    <w:uiPriority w:val="11"/>
    <w:qFormat/>
    <w:rsid w:val="00D72F28"/>
    <w:rPr>
      <w:b/>
    </w:rPr>
  </w:style>
  <w:style w:type="character" w:customStyle="1" w:styleId="SubtitleChar">
    <w:name w:val="Subtitle Char"/>
    <w:aliases w:val="Section Title Char"/>
    <w:basedOn w:val="DefaultParagraphFont"/>
    <w:link w:val="Subtitle"/>
    <w:uiPriority w:val="11"/>
    <w:rsid w:val="00D72F28"/>
    <w:rPr>
      <w:rFonts w:ascii="Calibri" w:eastAsia="Times New Roman" w:hAnsi="Calibri" w:cs="Times New Roman"/>
      <w:b/>
      <w:sz w:val="24"/>
      <w:szCs w:val="24"/>
      <w:lang w:val="en-AU"/>
    </w:rPr>
  </w:style>
  <w:style w:type="table" w:styleId="TableGrid">
    <w:name w:val="Table Grid"/>
    <w:basedOn w:val="TableNormal"/>
    <w:uiPriority w:val="59"/>
    <w:rsid w:val="00D72F28"/>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rsid w:val="00D72F28"/>
    <w:rPr>
      <w:i/>
      <w:iCs/>
    </w:rPr>
  </w:style>
  <w:style w:type="paragraph" w:styleId="ListParagraph">
    <w:name w:val="List Paragraph"/>
    <w:basedOn w:val="Normal"/>
    <w:uiPriority w:val="34"/>
    <w:qFormat/>
    <w:rsid w:val="00D72F28"/>
    <w:pPr>
      <w:ind w:left="720"/>
      <w:contextualSpacing/>
    </w:pPr>
  </w:style>
  <w:style w:type="character" w:customStyle="1" w:styleId="Heading1Char">
    <w:name w:val="Heading 1 Char"/>
    <w:basedOn w:val="DefaultParagraphFont"/>
    <w:link w:val="Heading1"/>
    <w:uiPriority w:val="9"/>
    <w:rsid w:val="00D72F28"/>
    <w:rPr>
      <w:rFonts w:asciiTheme="majorHAnsi" w:eastAsiaTheme="majorEastAsia" w:hAnsiTheme="majorHAnsi" w:cstheme="majorBidi"/>
      <w:b/>
      <w:bCs/>
      <w:color w:val="365F91" w:themeColor="accent1" w:themeShade="BF"/>
      <w:sz w:val="28"/>
      <w:szCs w:val="28"/>
      <w:lang w:val="en-AU"/>
    </w:rPr>
  </w:style>
  <w:style w:type="character" w:customStyle="1" w:styleId="Heading3Char">
    <w:name w:val="Heading 3 Char"/>
    <w:basedOn w:val="DefaultParagraphFont"/>
    <w:link w:val="Heading3"/>
    <w:uiPriority w:val="9"/>
    <w:semiHidden/>
    <w:rsid w:val="00D72F28"/>
    <w:rPr>
      <w:rFonts w:asciiTheme="majorHAnsi" w:eastAsiaTheme="majorEastAsia" w:hAnsiTheme="majorHAnsi" w:cstheme="majorBidi"/>
      <w:b/>
      <w:bCs/>
      <w:color w:val="4F81BD" w:themeColor="accent1"/>
      <w:sz w:val="24"/>
      <w:szCs w:val="24"/>
      <w:lang w:val="en-AU"/>
    </w:rPr>
  </w:style>
  <w:style w:type="paragraph" w:customStyle="1" w:styleId="bullet">
    <w:name w:val="bullet"/>
    <w:basedOn w:val="Normal"/>
    <w:uiPriority w:val="99"/>
    <w:rsid w:val="000F2375"/>
    <w:pPr>
      <w:spacing w:before="120" w:after="120" w:line="480" w:lineRule="auto"/>
      <w:ind w:left="720" w:hanging="720"/>
    </w:pPr>
    <w:rPr>
      <w:rFonts w:ascii="Times New Roman" w:hAnsi="Times New Roman"/>
      <w:szCs w:val="20"/>
    </w:rPr>
  </w:style>
  <w:style w:type="paragraph" w:styleId="Header">
    <w:name w:val="header"/>
    <w:basedOn w:val="Normal"/>
    <w:link w:val="HeaderChar"/>
    <w:uiPriority w:val="99"/>
    <w:unhideWhenUsed/>
    <w:rsid w:val="00596A42"/>
    <w:pPr>
      <w:tabs>
        <w:tab w:val="center" w:pos="4513"/>
        <w:tab w:val="right" w:pos="9026"/>
      </w:tabs>
    </w:pPr>
  </w:style>
  <w:style w:type="character" w:customStyle="1" w:styleId="HeaderChar">
    <w:name w:val="Header Char"/>
    <w:basedOn w:val="DefaultParagraphFont"/>
    <w:link w:val="Header"/>
    <w:uiPriority w:val="99"/>
    <w:rsid w:val="00596A42"/>
    <w:rPr>
      <w:rFonts w:ascii="Calibri" w:eastAsia="Times New Roman" w:hAnsi="Calibri" w:cs="Times New Roman"/>
      <w:sz w:val="24"/>
      <w:szCs w:val="24"/>
      <w:lang w:val="en-AU"/>
    </w:rPr>
  </w:style>
  <w:style w:type="paragraph" w:styleId="Footer">
    <w:name w:val="footer"/>
    <w:basedOn w:val="Normal"/>
    <w:link w:val="FooterChar"/>
    <w:uiPriority w:val="99"/>
    <w:unhideWhenUsed/>
    <w:rsid w:val="00596A42"/>
    <w:pPr>
      <w:tabs>
        <w:tab w:val="center" w:pos="4513"/>
        <w:tab w:val="right" w:pos="9026"/>
      </w:tabs>
    </w:pPr>
  </w:style>
  <w:style w:type="character" w:customStyle="1" w:styleId="FooterChar">
    <w:name w:val="Footer Char"/>
    <w:basedOn w:val="DefaultParagraphFont"/>
    <w:link w:val="Footer"/>
    <w:uiPriority w:val="99"/>
    <w:rsid w:val="00596A42"/>
    <w:rPr>
      <w:rFonts w:ascii="Calibri" w:eastAsia="Times New Roman" w:hAnsi="Calibri" w:cs="Times New Roman"/>
      <w:sz w:val="24"/>
      <w:szCs w:val="24"/>
      <w:lang w:val="en-AU"/>
    </w:rPr>
  </w:style>
  <w:style w:type="paragraph" w:styleId="NormalWeb">
    <w:name w:val="Normal (Web)"/>
    <w:basedOn w:val="Normal"/>
    <w:uiPriority w:val="99"/>
    <w:semiHidden/>
    <w:unhideWhenUsed/>
    <w:rsid w:val="002C11AE"/>
    <w:pPr>
      <w:spacing w:before="100" w:beforeAutospacing="1" w:after="100" w:afterAutospacing="1"/>
    </w:pPr>
    <w:rPr>
      <w:rFonts w:ascii="Times New Roman" w:hAnsi="Times New Roman"/>
      <w:lang w:eastAsia="en-AU"/>
    </w:rPr>
  </w:style>
  <w:style w:type="character" w:styleId="Hyperlink">
    <w:name w:val="Hyperlink"/>
    <w:basedOn w:val="DefaultParagraphFont"/>
    <w:uiPriority w:val="99"/>
    <w:unhideWhenUsed/>
    <w:rsid w:val="00BE405E"/>
    <w:rPr>
      <w:color w:val="0000FF" w:themeColor="hyperlink"/>
      <w:u w:val="single"/>
    </w:rPr>
  </w:style>
  <w:style w:type="character" w:styleId="UnresolvedMention">
    <w:name w:val="Unresolved Mention"/>
    <w:basedOn w:val="DefaultParagraphFont"/>
    <w:uiPriority w:val="99"/>
    <w:semiHidden/>
    <w:unhideWhenUsed/>
    <w:rsid w:val="00BE4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54210">
      <w:bodyDiv w:val="1"/>
      <w:marLeft w:val="0"/>
      <w:marRight w:val="0"/>
      <w:marTop w:val="0"/>
      <w:marBottom w:val="0"/>
      <w:divBdr>
        <w:top w:val="none" w:sz="0" w:space="0" w:color="auto"/>
        <w:left w:val="none" w:sz="0" w:space="0" w:color="auto"/>
        <w:bottom w:val="none" w:sz="0" w:space="0" w:color="auto"/>
        <w:right w:val="none" w:sz="0" w:space="0" w:color="auto"/>
      </w:divBdr>
    </w:div>
    <w:div w:id="226720308">
      <w:bodyDiv w:val="1"/>
      <w:marLeft w:val="0"/>
      <w:marRight w:val="0"/>
      <w:marTop w:val="0"/>
      <w:marBottom w:val="0"/>
      <w:divBdr>
        <w:top w:val="none" w:sz="0" w:space="0" w:color="auto"/>
        <w:left w:val="none" w:sz="0" w:space="0" w:color="auto"/>
        <w:bottom w:val="none" w:sz="0" w:space="0" w:color="auto"/>
        <w:right w:val="none" w:sz="0" w:space="0" w:color="auto"/>
      </w:divBdr>
    </w:div>
    <w:div w:id="267666888">
      <w:bodyDiv w:val="1"/>
      <w:marLeft w:val="0"/>
      <w:marRight w:val="0"/>
      <w:marTop w:val="0"/>
      <w:marBottom w:val="0"/>
      <w:divBdr>
        <w:top w:val="none" w:sz="0" w:space="0" w:color="auto"/>
        <w:left w:val="none" w:sz="0" w:space="0" w:color="auto"/>
        <w:bottom w:val="none" w:sz="0" w:space="0" w:color="auto"/>
        <w:right w:val="none" w:sz="0" w:space="0" w:color="auto"/>
      </w:divBdr>
    </w:div>
    <w:div w:id="380129986">
      <w:bodyDiv w:val="1"/>
      <w:marLeft w:val="0"/>
      <w:marRight w:val="0"/>
      <w:marTop w:val="0"/>
      <w:marBottom w:val="0"/>
      <w:divBdr>
        <w:top w:val="none" w:sz="0" w:space="0" w:color="auto"/>
        <w:left w:val="none" w:sz="0" w:space="0" w:color="auto"/>
        <w:bottom w:val="none" w:sz="0" w:space="0" w:color="auto"/>
        <w:right w:val="none" w:sz="0" w:space="0" w:color="auto"/>
      </w:divBdr>
    </w:div>
    <w:div w:id="606810145">
      <w:bodyDiv w:val="1"/>
      <w:marLeft w:val="0"/>
      <w:marRight w:val="0"/>
      <w:marTop w:val="0"/>
      <w:marBottom w:val="0"/>
      <w:divBdr>
        <w:top w:val="none" w:sz="0" w:space="0" w:color="auto"/>
        <w:left w:val="none" w:sz="0" w:space="0" w:color="auto"/>
        <w:bottom w:val="none" w:sz="0" w:space="0" w:color="auto"/>
        <w:right w:val="none" w:sz="0" w:space="0" w:color="auto"/>
      </w:divBdr>
    </w:div>
    <w:div w:id="147032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office.com/Pages/ResponsePage.aspx?id=0D83hL-_4EasEee-C1iddxUaNZeUTkBMqb_9UBQ0OFhUMEFBMEgxT0xIMVA2R0RUS1A2NDE3U1VHUy4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sue.cormack</dc:creator>
  <cp:lastModifiedBy>Dale Wain</cp:lastModifiedBy>
  <cp:revision>2</cp:revision>
  <dcterms:created xsi:type="dcterms:W3CDTF">2025-08-22T00:52:00Z</dcterms:created>
  <dcterms:modified xsi:type="dcterms:W3CDTF">2025-08-22T00:52:00Z</dcterms:modified>
</cp:coreProperties>
</file>